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EEBF" w14:textId="77777777" w:rsidR="00EE7033" w:rsidRPr="00973809" w:rsidRDefault="00EE7033" w:rsidP="00EE7033">
      <w:pPr>
        <w:spacing w:after="0"/>
        <w:jc w:val="center"/>
        <w:rPr>
          <w:sz w:val="36"/>
          <w:szCs w:val="36"/>
        </w:rPr>
      </w:pPr>
      <w:proofErr w:type="spellStart"/>
      <w:r w:rsidRPr="00973809">
        <w:rPr>
          <w:sz w:val="36"/>
          <w:szCs w:val="36"/>
        </w:rPr>
        <w:t>EnergieWerk</w:t>
      </w:r>
      <w:proofErr w:type="spellEnd"/>
      <w:r w:rsidRPr="00973809">
        <w:rPr>
          <w:sz w:val="36"/>
          <w:szCs w:val="36"/>
        </w:rPr>
        <w:t xml:space="preserve"> Kufstein</w:t>
      </w:r>
    </w:p>
    <w:p w14:paraId="36500D93" w14:textId="77777777" w:rsidR="00EE7033" w:rsidRDefault="00EE7033" w:rsidP="00EE7033">
      <w:pPr>
        <w:spacing w:after="0"/>
        <w:jc w:val="center"/>
      </w:pPr>
    </w:p>
    <w:p w14:paraId="3825815E" w14:textId="77777777" w:rsidR="00EE7033" w:rsidRPr="00973809" w:rsidRDefault="00EE7033" w:rsidP="00EE7033">
      <w:pPr>
        <w:spacing w:after="0"/>
        <w:jc w:val="center"/>
        <w:rPr>
          <w:sz w:val="28"/>
          <w:szCs w:val="28"/>
        </w:rPr>
      </w:pPr>
      <w:r w:rsidRPr="00973809">
        <w:rPr>
          <w:sz w:val="28"/>
          <w:szCs w:val="28"/>
        </w:rPr>
        <w:t>Auftrag</w:t>
      </w:r>
    </w:p>
    <w:p w14:paraId="11E0B922" w14:textId="77777777" w:rsidR="00EE7033" w:rsidRDefault="00EE7033" w:rsidP="00EE7033">
      <w:pPr>
        <w:spacing w:after="0"/>
      </w:pPr>
    </w:p>
    <w:tbl>
      <w:tblPr>
        <w:tblStyle w:val="Tabellenraster"/>
        <w:tblW w:w="9913" w:type="dxa"/>
        <w:jc w:val="center"/>
        <w:tblLook w:val="04A0" w:firstRow="1" w:lastRow="0" w:firstColumn="1" w:lastColumn="0" w:noHBand="0" w:noVBand="1"/>
      </w:tblPr>
      <w:tblGrid>
        <w:gridCol w:w="2019"/>
        <w:gridCol w:w="1520"/>
        <w:gridCol w:w="1843"/>
        <w:gridCol w:w="4531"/>
      </w:tblGrid>
      <w:tr w:rsidR="00EE7033" w:rsidRPr="00973809" w14:paraId="201E4506" w14:textId="77777777" w:rsidTr="00426247">
        <w:trPr>
          <w:trHeight w:val="526"/>
          <w:jc w:val="center"/>
        </w:trPr>
        <w:tc>
          <w:tcPr>
            <w:tcW w:w="2019" w:type="dxa"/>
            <w:vAlign w:val="center"/>
          </w:tcPr>
          <w:p w14:paraId="752B19DA" w14:textId="77777777" w:rsidR="00EE7033" w:rsidRPr="00973809" w:rsidRDefault="00EE7033" w:rsidP="00426247">
            <w:pPr>
              <w:spacing w:after="0" w:line="240" w:lineRule="auto"/>
              <w:rPr>
                <w:rFonts w:eastAsia="Times New Roman" w:cstheme="minorHAnsi"/>
                <w:b/>
                <w:bCs/>
                <w:lang w:eastAsia="de-DE"/>
              </w:rPr>
            </w:pPr>
            <w:r w:rsidRPr="00973809">
              <w:rPr>
                <w:rFonts w:eastAsia="Times New Roman" w:cstheme="minorHAnsi"/>
                <w:b/>
                <w:bCs/>
                <w:lang w:eastAsia="de-DE"/>
              </w:rPr>
              <w:t>Kundennummer:</w:t>
            </w:r>
          </w:p>
        </w:tc>
        <w:tc>
          <w:tcPr>
            <w:tcW w:w="1520" w:type="dxa"/>
            <w:vAlign w:val="center"/>
          </w:tcPr>
          <w:p w14:paraId="118BAB7F" w14:textId="48870ACF" w:rsidR="00EE7033" w:rsidRPr="00973809" w:rsidRDefault="00EE7033" w:rsidP="00426247">
            <w:pPr>
              <w:spacing w:after="0" w:line="240" w:lineRule="auto"/>
              <w:rPr>
                <w:rFonts w:eastAsia="Times New Roman" w:cstheme="minorHAnsi"/>
                <w:b/>
                <w:bCs/>
                <w:lang w:eastAsia="de-DE"/>
              </w:rPr>
            </w:pPr>
          </w:p>
        </w:tc>
        <w:tc>
          <w:tcPr>
            <w:tcW w:w="1843" w:type="dxa"/>
            <w:vAlign w:val="center"/>
          </w:tcPr>
          <w:p w14:paraId="363EDECF" w14:textId="77777777" w:rsidR="00EE7033" w:rsidRDefault="00EE7033" w:rsidP="00426247">
            <w:pPr>
              <w:spacing w:after="0" w:line="240" w:lineRule="auto"/>
            </w:pPr>
            <w:r w:rsidRPr="00973809">
              <w:rPr>
                <w:rFonts w:eastAsia="Times New Roman" w:cstheme="minorHAnsi"/>
                <w:b/>
                <w:bCs/>
                <w:lang w:eastAsia="de-DE"/>
              </w:rPr>
              <w:t>Anlagennummer:</w:t>
            </w:r>
          </w:p>
        </w:tc>
        <w:tc>
          <w:tcPr>
            <w:tcW w:w="4531" w:type="dxa"/>
            <w:vAlign w:val="center"/>
          </w:tcPr>
          <w:p w14:paraId="24F68377" w14:textId="7FB69591" w:rsidR="00EE7033" w:rsidRDefault="00EE7033" w:rsidP="00426247">
            <w:pPr>
              <w:spacing w:after="0" w:line="240" w:lineRule="auto"/>
            </w:pPr>
          </w:p>
        </w:tc>
      </w:tr>
      <w:tr w:rsidR="00EE7033" w:rsidRPr="00973809" w14:paraId="117C6E7C" w14:textId="77777777" w:rsidTr="00426247">
        <w:trPr>
          <w:trHeight w:val="526"/>
          <w:jc w:val="center"/>
        </w:trPr>
        <w:tc>
          <w:tcPr>
            <w:tcW w:w="2019" w:type="dxa"/>
            <w:vAlign w:val="center"/>
          </w:tcPr>
          <w:p w14:paraId="444AB406" w14:textId="77777777" w:rsidR="00EE7033" w:rsidRPr="00973809" w:rsidRDefault="00EE7033" w:rsidP="00426247">
            <w:pPr>
              <w:spacing w:after="0" w:line="240" w:lineRule="auto"/>
              <w:rPr>
                <w:rFonts w:eastAsia="Times New Roman" w:cstheme="minorHAnsi"/>
                <w:b/>
                <w:bCs/>
                <w:lang w:eastAsia="de-DE"/>
              </w:rPr>
            </w:pPr>
            <w:r w:rsidRPr="00973809">
              <w:rPr>
                <w:rFonts w:eastAsia="Times New Roman" w:cstheme="minorHAnsi"/>
                <w:b/>
                <w:bCs/>
                <w:lang w:eastAsia="de-DE"/>
              </w:rPr>
              <w:t>Anrede:</w:t>
            </w:r>
          </w:p>
        </w:tc>
        <w:tc>
          <w:tcPr>
            <w:tcW w:w="1520" w:type="dxa"/>
            <w:vAlign w:val="center"/>
          </w:tcPr>
          <w:p w14:paraId="00E9108B" w14:textId="593795C4" w:rsidR="00EE7033" w:rsidRPr="00973809" w:rsidRDefault="00EE7033" w:rsidP="00426247">
            <w:pPr>
              <w:spacing w:after="0" w:line="240" w:lineRule="auto"/>
              <w:rPr>
                <w:rFonts w:eastAsia="Times New Roman" w:cstheme="minorHAnsi"/>
                <w:b/>
                <w:bCs/>
                <w:lang w:eastAsia="de-DE"/>
              </w:rPr>
            </w:pPr>
          </w:p>
        </w:tc>
        <w:tc>
          <w:tcPr>
            <w:tcW w:w="1843" w:type="dxa"/>
            <w:vAlign w:val="center"/>
          </w:tcPr>
          <w:p w14:paraId="082C471E" w14:textId="77777777" w:rsidR="00EE7033" w:rsidRDefault="00EE7033" w:rsidP="00426247">
            <w:pPr>
              <w:spacing w:after="0" w:line="240" w:lineRule="auto"/>
            </w:pPr>
            <w:r>
              <w:rPr>
                <w:rFonts w:eastAsia="Times New Roman" w:cstheme="minorHAnsi"/>
                <w:b/>
                <w:bCs/>
                <w:lang w:eastAsia="de-DE"/>
              </w:rPr>
              <w:t>Name</w:t>
            </w:r>
            <w:r w:rsidRPr="00973809">
              <w:rPr>
                <w:rFonts w:eastAsia="Times New Roman" w:cstheme="minorHAnsi"/>
                <w:b/>
                <w:bCs/>
                <w:lang w:eastAsia="de-DE"/>
              </w:rPr>
              <w:t>:</w:t>
            </w:r>
          </w:p>
        </w:tc>
        <w:tc>
          <w:tcPr>
            <w:tcW w:w="4531" w:type="dxa"/>
            <w:vAlign w:val="center"/>
          </w:tcPr>
          <w:p w14:paraId="25B0FA3B" w14:textId="1A94CADF" w:rsidR="00EE7033" w:rsidRDefault="00EE7033" w:rsidP="00426247">
            <w:pPr>
              <w:spacing w:after="0" w:line="240" w:lineRule="auto"/>
            </w:pPr>
          </w:p>
        </w:tc>
      </w:tr>
      <w:tr w:rsidR="00EE7033" w:rsidRPr="00973809" w14:paraId="1BA38BBD" w14:textId="77777777" w:rsidTr="00426247">
        <w:trPr>
          <w:trHeight w:val="545"/>
          <w:jc w:val="center"/>
        </w:trPr>
        <w:tc>
          <w:tcPr>
            <w:tcW w:w="2019" w:type="dxa"/>
            <w:vAlign w:val="center"/>
          </w:tcPr>
          <w:p w14:paraId="6DA739FD" w14:textId="77777777" w:rsidR="00EE7033" w:rsidRPr="00973809" w:rsidRDefault="00EE7033" w:rsidP="00426247">
            <w:pPr>
              <w:spacing w:after="0" w:line="240" w:lineRule="auto"/>
              <w:rPr>
                <w:rFonts w:eastAsia="Times New Roman" w:cstheme="minorHAnsi"/>
                <w:b/>
                <w:bCs/>
                <w:lang w:eastAsia="de-DE"/>
              </w:rPr>
            </w:pPr>
            <w:r>
              <w:rPr>
                <w:rFonts w:eastAsia="Times New Roman" w:cstheme="minorHAnsi"/>
                <w:b/>
                <w:bCs/>
                <w:lang w:eastAsia="de-DE"/>
              </w:rPr>
              <w:t>Adresse</w:t>
            </w:r>
            <w:r w:rsidRPr="00973809">
              <w:rPr>
                <w:rFonts w:eastAsia="Times New Roman" w:cstheme="minorHAnsi"/>
                <w:b/>
                <w:bCs/>
                <w:lang w:eastAsia="de-DE"/>
              </w:rPr>
              <w:t>:</w:t>
            </w:r>
          </w:p>
        </w:tc>
        <w:tc>
          <w:tcPr>
            <w:tcW w:w="7894" w:type="dxa"/>
            <w:gridSpan w:val="3"/>
            <w:vAlign w:val="center"/>
          </w:tcPr>
          <w:p w14:paraId="4368842D" w14:textId="4479685A" w:rsidR="00EE7033" w:rsidRDefault="00EE7033" w:rsidP="00426247">
            <w:pPr>
              <w:spacing w:after="0" w:line="240" w:lineRule="auto"/>
            </w:pPr>
          </w:p>
        </w:tc>
      </w:tr>
      <w:tr w:rsidR="00EE7033" w:rsidRPr="00973809" w14:paraId="5DAA9765" w14:textId="77777777" w:rsidTr="00426247">
        <w:trPr>
          <w:trHeight w:val="545"/>
          <w:jc w:val="center"/>
        </w:trPr>
        <w:tc>
          <w:tcPr>
            <w:tcW w:w="2019" w:type="dxa"/>
            <w:vAlign w:val="center"/>
          </w:tcPr>
          <w:p w14:paraId="6C349FE2" w14:textId="77777777" w:rsidR="00EE7033" w:rsidRPr="00973809" w:rsidRDefault="00EE7033" w:rsidP="00426247">
            <w:pPr>
              <w:spacing w:after="0" w:line="240" w:lineRule="auto"/>
              <w:rPr>
                <w:rFonts w:eastAsia="Times New Roman" w:cstheme="minorHAnsi"/>
                <w:b/>
                <w:bCs/>
                <w:lang w:eastAsia="de-DE"/>
              </w:rPr>
            </w:pPr>
            <w:r w:rsidRPr="00973809">
              <w:rPr>
                <w:rFonts w:eastAsia="Times New Roman" w:cstheme="minorHAnsi"/>
                <w:b/>
                <w:bCs/>
                <w:lang w:eastAsia="de-DE"/>
              </w:rPr>
              <w:t>Geburtsdatum:</w:t>
            </w:r>
          </w:p>
        </w:tc>
        <w:tc>
          <w:tcPr>
            <w:tcW w:w="7894" w:type="dxa"/>
            <w:gridSpan w:val="3"/>
            <w:vAlign w:val="center"/>
          </w:tcPr>
          <w:p w14:paraId="39E69338" w14:textId="00A530F9" w:rsidR="00EE7033" w:rsidRDefault="00EE7033" w:rsidP="00426247">
            <w:pPr>
              <w:spacing w:after="0" w:line="240" w:lineRule="auto"/>
            </w:pPr>
          </w:p>
        </w:tc>
      </w:tr>
      <w:tr w:rsidR="00EE7033" w:rsidRPr="00973809" w14:paraId="76728848" w14:textId="77777777" w:rsidTr="00426247">
        <w:trPr>
          <w:trHeight w:val="526"/>
          <w:jc w:val="center"/>
        </w:trPr>
        <w:tc>
          <w:tcPr>
            <w:tcW w:w="2019" w:type="dxa"/>
            <w:vAlign w:val="center"/>
          </w:tcPr>
          <w:p w14:paraId="747EE58A" w14:textId="77777777" w:rsidR="00EE7033" w:rsidRPr="00973809" w:rsidRDefault="00EE7033" w:rsidP="00426247">
            <w:pPr>
              <w:spacing w:after="0" w:line="240" w:lineRule="auto"/>
              <w:rPr>
                <w:rFonts w:eastAsia="Times New Roman" w:cstheme="minorHAnsi"/>
                <w:b/>
                <w:bCs/>
                <w:lang w:eastAsia="de-DE"/>
              </w:rPr>
            </w:pPr>
            <w:r w:rsidRPr="00973809">
              <w:rPr>
                <w:rFonts w:eastAsia="Times New Roman" w:cstheme="minorHAnsi"/>
                <w:b/>
                <w:bCs/>
                <w:lang w:eastAsia="de-DE"/>
              </w:rPr>
              <w:t>Telefon:</w:t>
            </w:r>
          </w:p>
        </w:tc>
        <w:tc>
          <w:tcPr>
            <w:tcW w:w="7894" w:type="dxa"/>
            <w:gridSpan w:val="3"/>
            <w:vAlign w:val="center"/>
          </w:tcPr>
          <w:p w14:paraId="4338D5E5" w14:textId="5C545FA0" w:rsidR="00EE7033" w:rsidRDefault="00EE7033" w:rsidP="00426247">
            <w:pPr>
              <w:spacing w:after="0" w:line="240" w:lineRule="auto"/>
            </w:pPr>
          </w:p>
        </w:tc>
      </w:tr>
      <w:tr w:rsidR="00EE7033" w:rsidRPr="00973809" w14:paraId="49808D9E" w14:textId="77777777" w:rsidTr="00426247">
        <w:trPr>
          <w:trHeight w:val="526"/>
          <w:jc w:val="center"/>
        </w:trPr>
        <w:tc>
          <w:tcPr>
            <w:tcW w:w="2019" w:type="dxa"/>
            <w:vAlign w:val="center"/>
          </w:tcPr>
          <w:p w14:paraId="22E3270C" w14:textId="77777777" w:rsidR="00EE7033" w:rsidRPr="00973809" w:rsidRDefault="00EE7033" w:rsidP="00426247">
            <w:pPr>
              <w:spacing w:after="0" w:line="240" w:lineRule="auto"/>
              <w:rPr>
                <w:rFonts w:eastAsia="Times New Roman" w:cstheme="minorHAnsi"/>
                <w:b/>
                <w:bCs/>
                <w:lang w:eastAsia="de-DE"/>
              </w:rPr>
            </w:pPr>
            <w:r w:rsidRPr="00973809">
              <w:rPr>
                <w:rFonts w:eastAsia="Times New Roman" w:cstheme="minorHAnsi"/>
                <w:b/>
                <w:bCs/>
                <w:lang w:eastAsia="de-DE"/>
              </w:rPr>
              <w:t>E-Mail:</w:t>
            </w:r>
          </w:p>
        </w:tc>
        <w:tc>
          <w:tcPr>
            <w:tcW w:w="7894" w:type="dxa"/>
            <w:gridSpan w:val="3"/>
            <w:vAlign w:val="center"/>
          </w:tcPr>
          <w:p w14:paraId="7F5DB89E" w14:textId="2BE56C8C" w:rsidR="00EE7033" w:rsidRDefault="00EE7033" w:rsidP="00426247">
            <w:pPr>
              <w:spacing w:after="0" w:line="240" w:lineRule="auto"/>
            </w:pPr>
          </w:p>
        </w:tc>
      </w:tr>
    </w:tbl>
    <w:p w14:paraId="63C5C8ED" w14:textId="77777777" w:rsidR="00EE7033" w:rsidRPr="001D2278" w:rsidRDefault="00EE7033" w:rsidP="00EE7033">
      <w:pPr>
        <w:spacing w:after="0"/>
      </w:pPr>
    </w:p>
    <w:p w14:paraId="35BA26D5" w14:textId="77777777" w:rsidR="00EE7033" w:rsidRPr="00A0775F" w:rsidRDefault="00EE7033" w:rsidP="00EE7033">
      <w:pPr>
        <w:pStyle w:val="berschrift1"/>
        <w:numPr>
          <w:ilvl w:val="0"/>
          <w:numId w:val="3"/>
        </w:numPr>
        <w:spacing w:before="0" w:after="0" w:line="240" w:lineRule="auto"/>
        <w:ind w:right="-1277"/>
      </w:pPr>
      <w:r w:rsidRPr="00A34E8F">
        <w:t>Präambel</w:t>
      </w:r>
    </w:p>
    <w:p w14:paraId="41708116" w14:textId="77777777" w:rsidR="00EE7033" w:rsidRPr="00A34E8F" w:rsidRDefault="00EE7033" w:rsidP="00EE7033">
      <w:pPr>
        <w:spacing w:line="360" w:lineRule="auto"/>
        <w:jc w:val="both"/>
        <w:rPr>
          <w:rFonts w:ascii="Aptos" w:hAnsi="Aptos" w:cs="Calibri"/>
        </w:rPr>
      </w:pPr>
      <w:r>
        <w:rPr>
          <w:rFonts w:ascii="Aptos" w:hAnsi="Aptos" w:cs="Calibri"/>
        </w:rPr>
        <w:br/>
      </w:r>
      <w:r w:rsidRPr="00FA5581">
        <w:rPr>
          <w:rFonts w:ascii="Aptos" w:hAnsi="Aptos" w:cs="Calibri"/>
        </w:rPr>
        <w:t>Die Stadtwerke Kufstein GmbH stehen für Innovation und setzen erneuerbare Energieprojekte vor Ort um. Die Beteiligung an solchen Projekten unterstützt die Umsetzung nachhaltiger Energielösungen. Als Gegenleistung erhält die Kundin bzw. der Kunde eine entsprechende Stromgutschrift.</w:t>
      </w:r>
    </w:p>
    <w:p w14:paraId="1414FC51" w14:textId="77777777" w:rsidR="00EE7033" w:rsidRPr="00A0775F" w:rsidRDefault="00EE7033" w:rsidP="00EE7033">
      <w:pPr>
        <w:pStyle w:val="berschrift1"/>
        <w:numPr>
          <w:ilvl w:val="0"/>
          <w:numId w:val="3"/>
        </w:numPr>
        <w:spacing w:before="0" w:after="0" w:line="240" w:lineRule="auto"/>
        <w:ind w:right="-1277"/>
      </w:pPr>
      <w:r w:rsidRPr="00A34E8F">
        <w:t>Vertragsgegenstand und Laufzeit</w:t>
      </w:r>
    </w:p>
    <w:p w14:paraId="0420624E" w14:textId="77777777" w:rsidR="00EE7033" w:rsidRDefault="00EE7033" w:rsidP="00EE7033">
      <w:pPr>
        <w:spacing w:line="360" w:lineRule="auto"/>
        <w:jc w:val="both"/>
        <w:rPr>
          <w:rFonts w:ascii="Aptos" w:hAnsi="Aptos" w:cs="Calibri"/>
        </w:rPr>
      </w:pPr>
      <w:r>
        <w:rPr>
          <w:rFonts w:ascii="Aptos" w:hAnsi="Aptos" w:cs="Calibri"/>
        </w:rPr>
        <w:br/>
      </w:r>
      <w:r w:rsidRPr="00FA5581">
        <w:rPr>
          <w:rFonts w:ascii="Aptos" w:hAnsi="Aptos" w:cs="Calibri"/>
        </w:rPr>
        <w:t>Die Kundin bzw. der Kunde erwirbt gegen Einmalzahlung ein jährliches Energiekontingent (kWh) gemäß Pakettabelle für eine Laufzeit von 20 Jahren ab Zahlungseingang. Weitere Käufe sind bis zu einer Gesamtgröße von 3 kWp (3.000 kWh) je Zählpunkt zulässig. Das Kontingent bezieht sich ausschließlich auf den Energiepreis. Netzentgelte, Abgaben und Steuern fallen für den tatsächlichen Verbrauch an. Das Widerrufsrecht richtet sich nach den Bestimmungen des Fern- und Auswärtsgeschäfte-Gesetzes (FAGG).</w:t>
      </w:r>
    </w:p>
    <w:tbl>
      <w:tblPr>
        <w:tblStyle w:val="Tabellenraster"/>
        <w:tblW w:w="7180" w:type="dxa"/>
        <w:jc w:val="center"/>
        <w:tblLook w:val="04A0" w:firstRow="1" w:lastRow="0" w:firstColumn="1" w:lastColumn="0" w:noHBand="0" w:noVBand="1"/>
      </w:tblPr>
      <w:tblGrid>
        <w:gridCol w:w="1413"/>
        <w:gridCol w:w="1701"/>
        <w:gridCol w:w="1843"/>
        <w:gridCol w:w="2223"/>
      </w:tblGrid>
      <w:tr w:rsidR="00EE7033" w:rsidRPr="00A34E8F" w14:paraId="14C911B0" w14:textId="77777777" w:rsidTr="00426247">
        <w:trPr>
          <w:trHeight w:val="567"/>
          <w:jc w:val="center"/>
        </w:trPr>
        <w:tc>
          <w:tcPr>
            <w:tcW w:w="1413" w:type="dxa"/>
            <w:vAlign w:val="center"/>
          </w:tcPr>
          <w:p w14:paraId="69680A9F" w14:textId="77777777" w:rsidR="00EE7033" w:rsidRPr="00A34E8F" w:rsidRDefault="00EE7033" w:rsidP="00426247">
            <w:pPr>
              <w:spacing w:after="100"/>
              <w:jc w:val="center"/>
              <w:rPr>
                <w:rFonts w:ascii="Aptos" w:hAnsi="Aptos" w:cs="Calibri"/>
                <w:b/>
                <w:bCs/>
              </w:rPr>
            </w:pPr>
            <w:r w:rsidRPr="00A34E8F">
              <w:rPr>
                <w:rFonts w:ascii="Aptos" w:hAnsi="Aptos" w:cs="Calibri"/>
                <w:b/>
                <w:bCs/>
              </w:rPr>
              <w:t>Paket</w:t>
            </w:r>
          </w:p>
        </w:tc>
        <w:tc>
          <w:tcPr>
            <w:tcW w:w="1701" w:type="dxa"/>
            <w:vAlign w:val="center"/>
          </w:tcPr>
          <w:p w14:paraId="576C701E" w14:textId="77777777" w:rsidR="00EE7033" w:rsidRPr="00A34E8F" w:rsidRDefault="00EE7033" w:rsidP="00426247">
            <w:pPr>
              <w:spacing w:after="100"/>
              <w:jc w:val="center"/>
              <w:rPr>
                <w:rFonts w:ascii="Aptos" w:hAnsi="Aptos" w:cs="Calibri"/>
                <w:b/>
                <w:bCs/>
              </w:rPr>
            </w:pPr>
            <w:r w:rsidRPr="00A34E8F">
              <w:rPr>
                <w:rFonts w:ascii="Aptos" w:hAnsi="Aptos" w:cs="Calibri"/>
                <w:b/>
                <w:bCs/>
              </w:rPr>
              <w:t>Anteilsgröße</w:t>
            </w:r>
          </w:p>
        </w:tc>
        <w:tc>
          <w:tcPr>
            <w:tcW w:w="1843" w:type="dxa"/>
            <w:vAlign w:val="center"/>
          </w:tcPr>
          <w:p w14:paraId="7616207D" w14:textId="77777777" w:rsidR="00EE7033" w:rsidRPr="00A34E8F" w:rsidRDefault="00EE7033" w:rsidP="00426247">
            <w:pPr>
              <w:spacing w:after="100"/>
              <w:jc w:val="center"/>
              <w:rPr>
                <w:rFonts w:ascii="Aptos" w:hAnsi="Aptos" w:cs="Calibri"/>
                <w:b/>
                <w:bCs/>
              </w:rPr>
            </w:pPr>
            <w:r w:rsidRPr="00A34E8F">
              <w:rPr>
                <w:rFonts w:ascii="Aptos" w:hAnsi="Aptos" w:cs="Calibri"/>
                <w:b/>
                <w:bCs/>
              </w:rPr>
              <w:t>Kosten brutto</w:t>
            </w:r>
          </w:p>
        </w:tc>
        <w:tc>
          <w:tcPr>
            <w:tcW w:w="2223" w:type="dxa"/>
            <w:vAlign w:val="center"/>
          </w:tcPr>
          <w:p w14:paraId="49E94356" w14:textId="77777777" w:rsidR="00EE7033" w:rsidRPr="00A34E8F" w:rsidRDefault="00EE7033" w:rsidP="00426247">
            <w:pPr>
              <w:spacing w:after="100"/>
              <w:jc w:val="center"/>
              <w:rPr>
                <w:rFonts w:ascii="Aptos" w:hAnsi="Aptos" w:cs="Calibri"/>
                <w:b/>
                <w:bCs/>
              </w:rPr>
            </w:pPr>
            <w:r>
              <w:rPr>
                <w:rFonts w:ascii="Aptos" w:hAnsi="Aptos" w:cs="Calibri"/>
                <w:b/>
                <w:bCs/>
              </w:rPr>
              <w:t xml:space="preserve">Jährliche </w:t>
            </w:r>
            <w:r>
              <w:rPr>
                <w:rFonts w:ascii="Aptos" w:hAnsi="Aptos" w:cs="Calibri"/>
                <w:b/>
                <w:bCs/>
              </w:rPr>
              <w:br/>
              <w:t xml:space="preserve">Gutschrift </w:t>
            </w:r>
          </w:p>
        </w:tc>
      </w:tr>
      <w:tr w:rsidR="00EE7033" w:rsidRPr="00A34E8F" w14:paraId="367867A7" w14:textId="77777777" w:rsidTr="00426247">
        <w:trPr>
          <w:trHeight w:val="243"/>
          <w:jc w:val="center"/>
        </w:trPr>
        <w:tc>
          <w:tcPr>
            <w:tcW w:w="1413" w:type="dxa"/>
            <w:vAlign w:val="center"/>
          </w:tcPr>
          <w:p w14:paraId="00B83F72" w14:textId="77777777" w:rsidR="00EE7033" w:rsidRPr="00A34E8F" w:rsidRDefault="00EE7033" w:rsidP="00426247">
            <w:pPr>
              <w:jc w:val="center"/>
              <w:rPr>
                <w:rFonts w:ascii="Aptos" w:hAnsi="Aptos" w:cs="Calibri"/>
              </w:rPr>
            </w:pPr>
            <w:r w:rsidRPr="00A34E8F">
              <w:rPr>
                <w:rFonts w:ascii="Aptos" w:hAnsi="Aptos" w:cs="Calibri"/>
              </w:rPr>
              <w:t>Klein</w:t>
            </w:r>
          </w:p>
        </w:tc>
        <w:tc>
          <w:tcPr>
            <w:tcW w:w="1701" w:type="dxa"/>
            <w:vAlign w:val="center"/>
          </w:tcPr>
          <w:p w14:paraId="376695DD" w14:textId="77777777" w:rsidR="00EE7033" w:rsidRPr="00A34E8F" w:rsidRDefault="00EE7033" w:rsidP="00426247">
            <w:pPr>
              <w:jc w:val="center"/>
              <w:rPr>
                <w:rFonts w:ascii="Aptos" w:hAnsi="Aptos" w:cs="Calibri"/>
              </w:rPr>
            </w:pPr>
            <w:r w:rsidRPr="00A34E8F">
              <w:rPr>
                <w:rFonts w:ascii="Aptos" w:hAnsi="Aptos" w:cs="Calibri"/>
              </w:rPr>
              <w:t>1 kWp</w:t>
            </w:r>
          </w:p>
        </w:tc>
        <w:tc>
          <w:tcPr>
            <w:tcW w:w="1843" w:type="dxa"/>
            <w:vAlign w:val="center"/>
          </w:tcPr>
          <w:p w14:paraId="75900185" w14:textId="77777777" w:rsidR="00EE7033" w:rsidRPr="00A34E8F" w:rsidRDefault="00EE7033" w:rsidP="00426247">
            <w:pPr>
              <w:jc w:val="center"/>
              <w:rPr>
                <w:rFonts w:ascii="Aptos" w:hAnsi="Aptos" w:cs="Calibri"/>
              </w:rPr>
            </w:pPr>
            <w:r w:rsidRPr="00A34E8F">
              <w:rPr>
                <w:rFonts w:ascii="Aptos" w:hAnsi="Aptos" w:cs="Calibri"/>
              </w:rPr>
              <w:t xml:space="preserve">€ </w:t>
            </w:r>
            <w:proofErr w:type="gramStart"/>
            <w:r w:rsidRPr="00A34E8F">
              <w:rPr>
                <w:rFonts w:ascii="Aptos" w:hAnsi="Aptos" w:cs="Calibri"/>
              </w:rPr>
              <w:t>2.159,-</w:t>
            </w:r>
            <w:proofErr w:type="gramEnd"/>
          </w:p>
        </w:tc>
        <w:tc>
          <w:tcPr>
            <w:tcW w:w="2223" w:type="dxa"/>
            <w:vAlign w:val="center"/>
          </w:tcPr>
          <w:p w14:paraId="30974680" w14:textId="77777777" w:rsidR="00EE7033" w:rsidRPr="00A34E8F" w:rsidRDefault="00EE7033" w:rsidP="00426247">
            <w:pPr>
              <w:jc w:val="center"/>
              <w:rPr>
                <w:rFonts w:ascii="Aptos" w:hAnsi="Aptos" w:cs="Calibri"/>
              </w:rPr>
            </w:pPr>
            <w:r w:rsidRPr="00A34E8F">
              <w:rPr>
                <w:rFonts w:ascii="Aptos" w:hAnsi="Aptos" w:cs="Calibri"/>
              </w:rPr>
              <w:t>1.000 kWh</w:t>
            </w:r>
          </w:p>
        </w:tc>
      </w:tr>
      <w:tr w:rsidR="00EE7033" w:rsidRPr="00A34E8F" w14:paraId="59A02DE2" w14:textId="77777777" w:rsidTr="00426247">
        <w:trPr>
          <w:trHeight w:val="280"/>
          <w:jc w:val="center"/>
        </w:trPr>
        <w:tc>
          <w:tcPr>
            <w:tcW w:w="1413" w:type="dxa"/>
            <w:vAlign w:val="center"/>
          </w:tcPr>
          <w:p w14:paraId="442D52A0" w14:textId="77777777" w:rsidR="00EE7033" w:rsidRPr="00A34E8F" w:rsidRDefault="00EE7033" w:rsidP="00426247">
            <w:pPr>
              <w:jc w:val="center"/>
              <w:rPr>
                <w:rFonts w:ascii="Aptos" w:hAnsi="Aptos" w:cs="Calibri"/>
              </w:rPr>
            </w:pPr>
            <w:r w:rsidRPr="00A34E8F">
              <w:rPr>
                <w:rFonts w:ascii="Aptos" w:hAnsi="Aptos" w:cs="Calibri"/>
              </w:rPr>
              <w:t>Mittel</w:t>
            </w:r>
          </w:p>
        </w:tc>
        <w:tc>
          <w:tcPr>
            <w:tcW w:w="1701" w:type="dxa"/>
            <w:vAlign w:val="center"/>
          </w:tcPr>
          <w:p w14:paraId="19C79F9D" w14:textId="77777777" w:rsidR="00EE7033" w:rsidRPr="00A34E8F" w:rsidRDefault="00EE7033" w:rsidP="00426247">
            <w:pPr>
              <w:jc w:val="center"/>
              <w:rPr>
                <w:rFonts w:ascii="Aptos" w:hAnsi="Aptos" w:cs="Calibri"/>
              </w:rPr>
            </w:pPr>
            <w:r w:rsidRPr="00A34E8F">
              <w:rPr>
                <w:rFonts w:ascii="Aptos" w:hAnsi="Aptos" w:cs="Calibri"/>
              </w:rPr>
              <w:t>2 kWp</w:t>
            </w:r>
          </w:p>
        </w:tc>
        <w:tc>
          <w:tcPr>
            <w:tcW w:w="1843" w:type="dxa"/>
            <w:vAlign w:val="center"/>
          </w:tcPr>
          <w:p w14:paraId="1A431B8F" w14:textId="77777777" w:rsidR="00EE7033" w:rsidRPr="00A34E8F" w:rsidRDefault="00EE7033" w:rsidP="00426247">
            <w:pPr>
              <w:jc w:val="center"/>
              <w:rPr>
                <w:rFonts w:ascii="Aptos" w:hAnsi="Aptos" w:cs="Calibri"/>
              </w:rPr>
            </w:pPr>
            <w:r w:rsidRPr="00A34E8F">
              <w:rPr>
                <w:rFonts w:ascii="Aptos" w:hAnsi="Aptos" w:cs="Calibri"/>
              </w:rPr>
              <w:t xml:space="preserve">€ </w:t>
            </w:r>
            <w:proofErr w:type="gramStart"/>
            <w:r w:rsidRPr="00A34E8F">
              <w:rPr>
                <w:rFonts w:ascii="Aptos" w:hAnsi="Aptos" w:cs="Calibri"/>
              </w:rPr>
              <w:t>4.318,-</w:t>
            </w:r>
            <w:proofErr w:type="gramEnd"/>
          </w:p>
        </w:tc>
        <w:tc>
          <w:tcPr>
            <w:tcW w:w="2223" w:type="dxa"/>
            <w:vAlign w:val="center"/>
          </w:tcPr>
          <w:p w14:paraId="1B850868" w14:textId="77777777" w:rsidR="00EE7033" w:rsidRPr="00A34E8F" w:rsidRDefault="00EE7033" w:rsidP="00426247">
            <w:pPr>
              <w:jc w:val="center"/>
              <w:rPr>
                <w:rFonts w:ascii="Aptos" w:hAnsi="Aptos" w:cs="Calibri"/>
              </w:rPr>
            </w:pPr>
            <w:r w:rsidRPr="00A34E8F">
              <w:rPr>
                <w:rFonts w:ascii="Aptos" w:hAnsi="Aptos" w:cs="Calibri"/>
              </w:rPr>
              <w:t>2.000 kWh</w:t>
            </w:r>
          </w:p>
        </w:tc>
      </w:tr>
      <w:tr w:rsidR="00EE7033" w:rsidRPr="00A34E8F" w14:paraId="7DB84450" w14:textId="77777777" w:rsidTr="00426247">
        <w:trPr>
          <w:trHeight w:val="305"/>
          <w:jc w:val="center"/>
        </w:trPr>
        <w:tc>
          <w:tcPr>
            <w:tcW w:w="1413" w:type="dxa"/>
            <w:vAlign w:val="center"/>
          </w:tcPr>
          <w:p w14:paraId="710D2877" w14:textId="77777777" w:rsidR="00EE7033" w:rsidRPr="00A34E8F" w:rsidRDefault="00EE7033" w:rsidP="00426247">
            <w:pPr>
              <w:jc w:val="center"/>
              <w:rPr>
                <w:rFonts w:ascii="Aptos" w:hAnsi="Aptos" w:cs="Calibri"/>
              </w:rPr>
            </w:pPr>
            <w:r w:rsidRPr="00A34E8F">
              <w:rPr>
                <w:rFonts w:ascii="Aptos" w:hAnsi="Aptos" w:cs="Calibri"/>
              </w:rPr>
              <w:t>Groß</w:t>
            </w:r>
          </w:p>
        </w:tc>
        <w:tc>
          <w:tcPr>
            <w:tcW w:w="1701" w:type="dxa"/>
            <w:vAlign w:val="center"/>
          </w:tcPr>
          <w:p w14:paraId="20D6569E" w14:textId="77777777" w:rsidR="00EE7033" w:rsidRPr="00A34E8F" w:rsidRDefault="00EE7033" w:rsidP="00426247">
            <w:pPr>
              <w:jc w:val="center"/>
              <w:rPr>
                <w:rFonts w:ascii="Aptos" w:hAnsi="Aptos" w:cs="Calibri"/>
              </w:rPr>
            </w:pPr>
            <w:r w:rsidRPr="00A34E8F">
              <w:rPr>
                <w:rFonts w:ascii="Aptos" w:hAnsi="Aptos" w:cs="Calibri"/>
              </w:rPr>
              <w:t>3 kWp</w:t>
            </w:r>
          </w:p>
        </w:tc>
        <w:tc>
          <w:tcPr>
            <w:tcW w:w="1843" w:type="dxa"/>
            <w:vAlign w:val="center"/>
          </w:tcPr>
          <w:p w14:paraId="59C5A8C3" w14:textId="77777777" w:rsidR="00EE7033" w:rsidRPr="00A34E8F" w:rsidRDefault="00EE7033" w:rsidP="00426247">
            <w:pPr>
              <w:jc w:val="center"/>
              <w:rPr>
                <w:rFonts w:ascii="Aptos" w:hAnsi="Aptos" w:cs="Calibri"/>
              </w:rPr>
            </w:pPr>
            <w:r w:rsidRPr="00A34E8F">
              <w:rPr>
                <w:rFonts w:ascii="Aptos" w:hAnsi="Aptos" w:cs="Calibri"/>
              </w:rPr>
              <w:t xml:space="preserve">€ </w:t>
            </w:r>
            <w:proofErr w:type="gramStart"/>
            <w:r w:rsidRPr="00A34E8F">
              <w:rPr>
                <w:rFonts w:ascii="Aptos" w:hAnsi="Aptos" w:cs="Calibri"/>
              </w:rPr>
              <w:t>6.477,-</w:t>
            </w:r>
            <w:proofErr w:type="gramEnd"/>
          </w:p>
        </w:tc>
        <w:tc>
          <w:tcPr>
            <w:tcW w:w="2223" w:type="dxa"/>
            <w:vAlign w:val="center"/>
          </w:tcPr>
          <w:p w14:paraId="0EE837FB" w14:textId="77777777" w:rsidR="00EE7033" w:rsidRPr="00A34E8F" w:rsidRDefault="00EE7033" w:rsidP="00426247">
            <w:pPr>
              <w:jc w:val="center"/>
              <w:rPr>
                <w:rFonts w:ascii="Aptos" w:hAnsi="Aptos" w:cs="Calibri"/>
              </w:rPr>
            </w:pPr>
            <w:r w:rsidRPr="00A34E8F">
              <w:rPr>
                <w:rFonts w:ascii="Aptos" w:hAnsi="Aptos" w:cs="Calibri"/>
              </w:rPr>
              <w:t>3.000 kWh</w:t>
            </w:r>
          </w:p>
        </w:tc>
      </w:tr>
    </w:tbl>
    <w:p w14:paraId="2121B0BE" w14:textId="77777777" w:rsidR="00EE7033" w:rsidRDefault="00EE7033" w:rsidP="00EE7033">
      <w:pPr>
        <w:spacing w:line="360" w:lineRule="auto"/>
        <w:jc w:val="both"/>
        <w:rPr>
          <w:rFonts w:ascii="Aptos" w:hAnsi="Aptos" w:cs="Calibri"/>
        </w:rPr>
      </w:pPr>
    </w:p>
    <w:p w14:paraId="24863048" w14:textId="1B81F99F" w:rsidR="00EE7033" w:rsidRPr="00FA5581" w:rsidRDefault="00EE7033" w:rsidP="00EE7033">
      <w:pPr>
        <w:spacing w:line="360" w:lineRule="auto"/>
        <w:jc w:val="center"/>
        <w:rPr>
          <w:rFonts w:ascii="Aptos" w:hAnsi="Aptos" w:cs="Calibri"/>
          <w:b/>
        </w:rPr>
      </w:pPr>
      <w:r w:rsidRPr="00FA5581">
        <w:rPr>
          <w:rFonts w:ascii="Aptos" w:hAnsi="Aptos" w:cs="Calibri"/>
          <w:b/>
        </w:rPr>
        <w:t xml:space="preserve">Gewählte Option (jährliche Gutschrift): </w:t>
      </w:r>
      <w:r w:rsidRPr="00FA5581">
        <w:rPr>
          <w:b/>
        </w:rPr>
        <w:t>kWh</w:t>
      </w:r>
    </w:p>
    <w:p w14:paraId="4AF70A08" w14:textId="77777777" w:rsidR="00EE7033" w:rsidRDefault="00EE7033" w:rsidP="00EE7033">
      <w:pPr>
        <w:pStyle w:val="berschrift1"/>
        <w:numPr>
          <w:ilvl w:val="0"/>
          <w:numId w:val="3"/>
        </w:numPr>
        <w:spacing w:before="0" w:after="0" w:line="240" w:lineRule="auto"/>
        <w:ind w:right="-1277"/>
      </w:pPr>
      <w:r w:rsidRPr="00A34E8F">
        <w:lastRenderedPageBreak/>
        <w:t>Nutzungsbedingungen</w:t>
      </w:r>
    </w:p>
    <w:p w14:paraId="0248A083" w14:textId="77777777" w:rsidR="00EE7033" w:rsidRPr="00931294" w:rsidRDefault="00EE7033" w:rsidP="00EE7033"/>
    <w:p w14:paraId="37427FA2" w14:textId="77777777" w:rsidR="00EE7033" w:rsidRPr="00FA5581"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Natürliche Person – kein Gewerbe</w:t>
      </w:r>
    </w:p>
    <w:p w14:paraId="0D272C9E" w14:textId="77777777" w:rsidR="00EE7033"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 xml:space="preserve">Bestehender oder neu abzuschließender </w:t>
      </w:r>
      <w:r w:rsidRPr="00434784">
        <w:rPr>
          <w:rFonts w:ascii="Aptos" w:eastAsia="Times New Roman" w:hAnsi="Aptos" w:cs="Calibri"/>
          <w:b/>
          <w:lang w:val="de-DE" w:eastAsia="de-DE"/>
        </w:rPr>
        <w:t>Stromliefervertrag mit den Stadtwerken Kufstein</w:t>
      </w:r>
      <w:r w:rsidRPr="00FA5581">
        <w:rPr>
          <w:rFonts w:ascii="Aptos" w:eastAsia="Times New Roman" w:hAnsi="Aptos" w:cs="Calibri"/>
          <w:lang w:val="de-DE" w:eastAsia="de-DE"/>
        </w:rPr>
        <w:t xml:space="preserve"> für den betreffenden Zählpunkt im Tarif „</w:t>
      </w:r>
      <w:proofErr w:type="spellStart"/>
      <w:proofErr w:type="gramStart"/>
      <w:r w:rsidRPr="00FA5581">
        <w:rPr>
          <w:rFonts w:ascii="Aptos" w:eastAsia="Times New Roman" w:hAnsi="Aptos" w:cs="Calibri"/>
          <w:lang w:val="de-DE" w:eastAsia="de-DE"/>
        </w:rPr>
        <w:t>kufstein.strom</w:t>
      </w:r>
      <w:proofErr w:type="spellEnd"/>
      <w:proofErr w:type="gramEnd"/>
      <w:r w:rsidRPr="00FA5581">
        <w:rPr>
          <w:rFonts w:ascii="Aptos" w:eastAsia="Times New Roman" w:hAnsi="Aptos" w:cs="Calibri"/>
          <w:lang w:val="de-DE" w:eastAsia="de-DE"/>
        </w:rPr>
        <w:t xml:space="preserve"> privat“ </w:t>
      </w:r>
    </w:p>
    <w:p w14:paraId="32E76DCF" w14:textId="77777777" w:rsidR="00EE7033"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 xml:space="preserve">Umstellung auf </w:t>
      </w:r>
      <w:r w:rsidRPr="00434784">
        <w:rPr>
          <w:rFonts w:ascii="Aptos" w:eastAsia="Times New Roman" w:hAnsi="Aptos" w:cs="Calibri"/>
          <w:b/>
          <w:lang w:val="de-DE" w:eastAsia="de-DE"/>
        </w:rPr>
        <w:t>Monatsabrechnungen</w:t>
      </w:r>
    </w:p>
    <w:p w14:paraId="736C71D1" w14:textId="77777777" w:rsidR="00EE7033" w:rsidRDefault="00EE7033" w:rsidP="00EE7033">
      <w:pPr>
        <w:numPr>
          <w:ilvl w:val="0"/>
          <w:numId w:val="1"/>
        </w:numPr>
        <w:spacing w:after="0" w:line="360" w:lineRule="auto"/>
        <w:contextualSpacing/>
        <w:jc w:val="both"/>
        <w:rPr>
          <w:rFonts w:ascii="Aptos" w:eastAsia="Times New Roman" w:hAnsi="Aptos" w:cs="Calibri"/>
          <w:lang w:val="de-DE" w:eastAsia="de-DE"/>
        </w:rPr>
      </w:pPr>
      <w:r w:rsidRPr="00434784">
        <w:rPr>
          <w:rFonts w:ascii="Aptos" w:eastAsia="Times New Roman" w:hAnsi="Aptos" w:cs="Calibri"/>
          <w:lang w:val="de-DE" w:eastAsia="de-DE"/>
        </w:rPr>
        <w:t xml:space="preserve">Vorliegen eines gültigen </w:t>
      </w:r>
      <w:r w:rsidRPr="00434784">
        <w:rPr>
          <w:rFonts w:ascii="Aptos" w:eastAsia="Times New Roman" w:hAnsi="Aptos" w:cs="Calibri"/>
          <w:b/>
          <w:lang w:val="de-DE" w:eastAsia="de-DE"/>
        </w:rPr>
        <w:t>SEPA-Lastschriftmandats</w:t>
      </w:r>
      <w:r>
        <w:rPr>
          <w:rFonts w:ascii="Aptos" w:eastAsia="Times New Roman" w:hAnsi="Aptos" w:cs="Calibri"/>
          <w:lang w:val="de-DE" w:eastAsia="de-DE"/>
        </w:rPr>
        <w:t xml:space="preserve"> voraus.</w:t>
      </w:r>
    </w:p>
    <w:p w14:paraId="2257540A" w14:textId="77777777" w:rsidR="00EE7033" w:rsidRPr="00FA5581" w:rsidRDefault="00EE7033" w:rsidP="00EE7033">
      <w:pPr>
        <w:numPr>
          <w:ilvl w:val="0"/>
          <w:numId w:val="1"/>
        </w:numPr>
        <w:spacing w:after="0" w:line="360" w:lineRule="auto"/>
        <w:contextualSpacing/>
        <w:jc w:val="both"/>
        <w:rPr>
          <w:rFonts w:ascii="Aptos" w:eastAsia="Times New Roman" w:hAnsi="Aptos" w:cs="Calibri"/>
          <w:lang w:val="de-DE" w:eastAsia="de-DE"/>
        </w:rPr>
      </w:pPr>
      <w:r w:rsidRPr="00434784">
        <w:rPr>
          <w:rFonts w:ascii="Aptos" w:eastAsia="Times New Roman" w:hAnsi="Aptos" w:cs="Calibri"/>
          <w:lang w:val="de-DE" w:eastAsia="de-DE"/>
        </w:rPr>
        <w:t xml:space="preserve">Rechnungslegung erfolgt ausschließlich per </w:t>
      </w:r>
      <w:r w:rsidRPr="00434784">
        <w:rPr>
          <w:rFonts w:ascii="Aptos" w:eastAsia="Times New Roman" w:hAnsi="Aptos" w:cs="Calibri"/>
          <w:b/>
          <w:lang w:val="de-DE" w:eastAsia="de-DE"/>
        </w:rPr>
        <w:t>E-Rechnung</w:t>
      </w:r>
      <w:r w:rsidRPr="00434784">
        <w:rPr>
          <w:rFonts w:ascii="Aptos" w:eastAsia="Times New Roman" w:hAnsi="Aptos" w:cs="Calibri"/>
          <w:lang w:val="de-DE" w:eastAsia="de-DE"/>
        </w:rPr>
        <w:t>.</w:t>
      </w:r>
    </w:p>
    <w:p w14:paraId="0B3FD9E1" w14:textId="77777777" w:rsidR="00EE7033" w:rsidRPr="00FA5581"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 xml:space="preserve">Neukundin bzw. Neukunde mit </w:t>
      </w:r>
      <w:r w:rsidRPr="00434784">
        <w:rPr>
          <w:rFonts w:ascii="Aptos" w:eastAsia="Times New Roman" w:hAnsi="Aptos" w:cs="Calibri"/>
          <w:b/>
          <w:lang w:val="de-DE" w:eastAsia="de-DE"/>
        </w:rPr>
        <w:t>Wohnsitz oder Lieferadresse in Tirol</w:t>
      </w:r>
    </w:p>
    <w:p w14:paraId="2B9642D7" w14:textId="77777777" w:rsidR="00EE7033" w:rsidRPr="00FA5581"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 xml:space="preserve">Pro Zählpunkt </w:t>
      </w:r>
      <w:r w:rsidRPr="00434784">
        <w:rPr>
          <w:rFonts w:ascii="Aptos" w:eastAsia="Times New Roman" w:hAnsi="Aptos" w:cs="Calibri"/>
          <w:b/>
          <w:lang w:val="de-DE" w:eastAsia="de-DE"/>
        </w:rPr>
        <w:t>max. 3 kWp</w:t>
      </w:r>
    </w:p>
    <w:p w14:paraId="3E8EEB20" w14:textId="77777777" w:rsidR="00EE7033" w:rsidRDefault="00EE7033" w:rsidP="00EE7033">
      <w:pPr>
        <w:numPr>
          <w:ilvl w:val="0"/>
          <w:numId w:val="1"/>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Nicht übertragbar auf Dritte, ausgenommen Rückabwicklung gemäß Punkt VI</w:t>
      </w:r>
    </w:p>
    <w:p w14:paraId="0BDF0D3C" w14:textId="77777777" w:rsidR="00EE7033" w:rsidRDefault="00EE7033" w:rsidP="00EE7033">
      <w:pPr>
        <w:numPr>
          <w:ilvl w:val="0"/>
          <w:numId w:val="1"/>
        </w:numPr>
        <w:spacing w:after="0" w:line="360" w:lineRule="auto"/>
        <w:contextualSpacing/>
        <w:jc w:val="both"/>
        <w:rPr>
          <w:rFonts w:ascii="Aptos" w:eastAsia="Times New Roman" w:hAnsi="Aptos" w:cs="Calibri"/>
          <w:lang w:val="de-DE" w:eastAsia="de-DE"/>
        </w:rPr>
      </w:pPr>
      <w:r w:rsidRPr="00C5769C">
        <w:rPr>
          <w:rFonts w:ascii="Aptos" w:eastAsia="Times New Roman" w:hAnsi="Aptos" w:cs="Calibri"/>
          <w:lang w:val="de-DE" w:eastAsia="de-DE"/>
        </w:rPr>
        <w:t>Vorhandensein oder Neuinstallation ei</w:t>
      </w:r>
      <w:r>
        <w:rPr>
          <w:rFonts w:ascii="Aptos" w:eastAsia="Times New Roman" w:hAnsi="Aptos" w:cs="Calibri"/>
          <w:lang w:val="de-DE" w:eastAsia="de-DE"/>
        </w:rPr>
        <w:t xml:space="preserve">nes </w:t>
      </w:r>
      <w:r w:rsidRPr="00434784">
        <w:rPr>
          <w:rFonts w:ascii="Aptos" w:eastAsia="Times New Roman" w:hAnsi="Aptos" w:cs="Calibri"/>
          <w:b/>
          <w:lang w:val="de-DE" w:eastAsia="de-DE"/>
        </w:rPr>
        <w:t>Smart Meters (IME oder IMS)</w:t>
      </w:r>
      <w:r>
        <w:rPr>
          <w:rFonts w:ascii="Aptos" w:eastAsia="Times New Roman" w:hAnsi="Aptos" w:cs="Calibri"/>
          <w:lang w:val="de-DE" w:eastAsia="de-DE"/>
        </w:rPr>
        <w:t xml:space="preserve">. Im Falle einer bestehenden </w:t>
      </w:r>
      <w:proofErr w:type="spellStart"/>
      <w:r>
        <w:rPr>
          <w:rFonts w:ascii="Aptos" w:eastAsia="Times New Roman" w:hAnsi="Aptos" w:cs="Calibri"/>
          <w:lang w:val="de-DE" w:eastAsia="de-DE"/>
        </w:rPr>
        <w:t>Opt</w:t>
      </w:r>
      <w:proofErr w:type="spellEnd"/>
      <w:r>
        <w:rPr>
          <w:rFonts w:ascii="Aptos" w:eastAsia="Times New Roman" w:hAnsi="Aptos" w:cs="Calibri"/>
          <w:lang w:val="de-DE" w:eastAsia="de-DE"/>
        </w:rPr>
        <w:t>-Out Konfiguration meines Zählers, stimme ich einer Änderung auf IMS zu.</w:t>
      </w:r>
    </w:p>
    <w:p w14:paraId="070B6BC6" w14:textId="77777777" w:rsidR="00EE7033" w:rsidRPr="00434784" w:rsidRDefault="00EE7033" w:rsidP="00EE7033">
      <w:pPr>
        <w:spacing w:after="0" w:line="360" w:lineRule="auto"/>
        <w:ind w:left="720"/>
        <w:contextualSpacing/>
        <w:jc w:val="both"/>
        <w:rPr>
          <w:rFonts w:ascii="Aptos" w:eastAsia="Times New Roman" w:hAnsi="Aptos" w:cs="Calibri"/>
          <w:lang w:val="de-DE" w:eastAsia="de-DE"/>
        </w:rPr>
      </w:pPr>
    </w:p>
    <w:p w14:paraId="5C324E83" w14:textId="77777777" w:rsidR="00EE7033" w:rsidRPr="00A0775F" w:rsidRDefault="00EE7033" w:rsidP="00EE7033">
      <w:pPr>
        <w:pStyle w:val="berschrift1"/>
        <w:numPr>
          <w:ilvl w:val="0"/>
          <w:numId w:val="3"/>
        </w:numPr>
        <w:spacing w:before="0" w:after="0" w:line="240" w:lineRule="auto"/>
        <w:ind w:right="-1277"/>
      </w:pPr>
      <w:r w:rsidRPr="00A34E8F">
        <w:t>Kaufpreis und Zahlung</w:t>
      </w:r>
    </w:p>
    <w:p w14:paraId="10FAF1A7" w14:textId="77777777" w:rsidR="00EE7033" w:rsidRDefault="00EE7033" w:rsidP="00EE7033">
      <w:pPr>
        <w:spacing w:line="360" w:lineRule="auto"/>
        <w:jc w:val="both"/>
        <w:rPr>
          <w:rFonts w:ascii="Aptos" w:hAnsi="Aptos" w:cs="Calibri"/>
        </w:rPr>
      </w:pPr>
      <w:r>
        <w:rPr>
          <w:rFonts w:ascii="Aptos" w:hAnsi="Aptos" w:cs="Calibri"/>
        </w:rPr>
        <w:br/>
      </w:r>
      <w:r w:rsidRPr="00FA5581">
        <w:rPr>
          <w:rFonts w:ascii="Aptos" w:hAnsi="Aptos" w:cs="Calibri"/>
        </w:rPr>
        <w:t>Der Kaufpreis richtet sich nach der Größe des Anteils und ist innerhalb von 14 Tagen nach Rechnungslegung zu zahlen. Erfolgt keine fristgerechte Zahlung, tritt der Vertrag nicht in Kraft und bereits geleistete Zahlungen werden rückerstattet.</w:t>
      </w:r>
    </w:p>
    <w:p w14:paraId="06154307" w14:textId="77777777" w:rsidR="00EE7033" w:rsidRDefault="00EE7033" w:rsidP="00EE7033">
      <w:pPr>
        <w:pStyle w:val="berschrift1"/>
        <w:numPr>
          <w:ilvl w:val="0"/>
          <w:numId w:val="3"/>
        </w:numPr>
        <w:spacing w:before="0" w:after="0" w:line="240" w:lineRule="auto"/>
        <w:ind w:right="-1277"/>
      </w:pPr>
      <w:r w:rsidRPr="00A34E8F">
        <w:t>Gutschrift Stromrechnung</w:t>
      </w:r>
    </w:p>
    <w:p w14:paraId="78B90F39" w14:textId="77777777" w:rsidR="00EE7033" w:rsidRPr="00FA5581" w:rsidRDefault="00EE7033" w:rsidP="00EE7033">
      <w:pPr>
        <w:spacing w:line="360" w:lineRule="auto"/>
        <w:jc w:val="both"/>
        <w:rPr>
          <w:rFonts w:ascii="Aptos" w:hAnsi="Aptos" w:cs="Calibri"/>
        </w:rPr>
      </w:pPr>
      <w:r>
        <w:rPr>
          <w:rFonts w:ascii="Aptos" w:hAnsi="Aptos" w:cs="Calibri"/>
        </w:rPr>
        <w:br/>
      </w:r>
      <w:r w:rsidRPr="00FA5581">
        <w:rPr>
          <w:rFonts w:ascii="Aptos" w:hAnsi="Aptos" w:cs="Calibri"/>
        </w:rPr>
        <w:t>Die Kundin bzw. der Kunde erhält für jedes Abrechnungsjahr eine Energiegutschrift in Höhe des erworbenen Anteils. Die erstmalige Gutschrift erfolgt mit der ersten Monatsabrechnung nach Eingang des Kaufpreises. Die Gutschrift wird aliquot auf Tagesbasis verteilt. Sie wirkt ausschließlich auf den Energiepreis. Netzgebühren, Steuern und Abgaben sind weiterhin zu entrichten. Die von den Stadtwerken Kufstein abgenommene elektrische Energie wird gemäß dem Schema der</w:t>
      </w:r>
    </w:p>
    <w:p w14:paraId="6E89F9F0" w14:textId="77777777" w:rsidR="00EE7033" w:rsidRPr="00A34E8F" w:rsidRDefault="00EE7033" w:rsidP="00EE7033">
      <w:pPr>
        <w:spacing w:line="360" w:lineRule="auto"/>
        <w:jc w:val="both"/>
        <w:rPr>
          <w:rFonts w:ascii="Aptos" w:hAnsi="Aptos" w:cs="Calibri"/>
        </w:rPr>
      </w:pPr>
      <w:proofErr w:type="spellStart"/>
      <w:r w:rsidRPr="00FA5581">
        <w:rPr>
          <w:rFonts w:ascii="Aptos" w:hAnsi="Aptos" w:cs="Calibri"/>
        </w:rPr>
        <w:t>OeMAG</w:t>
      </w:r>
      <w:proofErr w:type="spellEnd"/>
      <w:r w:rsidRPr="00FA5581">
        <w:rPr>
          <w:rFonts w:ascii="Aptos" w:hAnsi="Aptos" w:cs="Calibri"/>
        </w:rPr>
        <w:t xml:space="preserve"> (Abwicklungsstelle für Ökostrom AG) vergütet. Die Einspeisevergütung wird monatlich nachträglich festgesetzt. Zusätzlich ist sie auf maximal 70 % des Produktpreises „</w:t>
      </w:r>
      <w:proofErr w:type="spellStart"/>
      <w:r w:rsidRPr="00FA5581">
        <w:rPr>
          <w:rFonts w:ascii="Aptos" w:hAnsi="Aptos" w:cs="Calibri"/>
        </w:rPr>
        <w:t>kuf-</w:t>
      </w:r>
      <w:proofErr w:type="gramStart"/>
      <w:r w:rsidRPr="00FA5581">
        <w:rPr>
          <w:rFonts w:ascii="Aptos" w:hAnsi="Aptos" w:cs="Calibri"/>
        </w:rPr>
        <w:t>stein.strom</w:t>
      </w:r>
      <w:proofErr w:type="spellEnd"/>
      <w:proofErr w:type="gramEnd"/>
      <w:r w:rsidRPr="00FA5581">
        <w:rPr>
          <w:rFonts w:ascii="Aptos" w:hAnsi="Aptos" w:cs="Calibri"/>
        </w:rPr>
        <w:t xml:space="preserve"> privat“ (bzw. eines neuen, an dessen Stelle tretenden Produktpreises) begrenzt.</w:t>
      </w:r>
    </w:p>
    <w:p w14:paraId="3E464C52" w14:textId="77777777" w:rsidR="00EE7033" w:rsidRDefault="00EE7033" w:rsidP="00EE7033">
      <w:pPr>
        <w:pStyle w:val="berschrift1"/>
        <w:numPr>
          <w:ilvl w:val="0"/>
          <w:numId w:val="3"/>
        </w:numPr>
        <w:spacing w:before="0" w:after="0" w:line="240" w:lineRule="auto"/>
        <w:ind w:right="-1277"/>
      </w:pPr>
      <w:r w:rsidRPr="00A34E8F">
        <w:t>Rückabwicklung</w:t>
      </w:r>
    </w:p>
    <w:p w14:paraId="29EAC16E" w14:textId="77777777" w:rsidR="00EE7033" w:rsidRPr="00A0775F" w:rsidRDefault="00EE7033" w:rsidP="00EE7033"/>
    <w:p w14:paraId="2E0B520F"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lastRenderedPageBreak/>
        <w:t>Die Stadtwerke Kufstein verpflichtet sich, während der zwanzigjährigen Vertragslaufzeit eine Rückabwicklung der erworbenen Anteile vorzunehmen, sofern bestimmte Umstände eintreten.</w:t>
      </w:r>
    </w:p>
    <w:p w14:paraId="0357CCAA"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t>Eine Rückabwicklung ist insbesondere möglich im Falle</w:t>
      </w:r>
    </w:p>
    <w:p w14:paraId="5A53469C" w14:textId="77777777" w:rsidR="00EE7033" w:rsidRPr="00FA5581" w:rsidRDefault="00EE7033" w:rsidP="00EE7033">
      <w:pPr>
        <w:numPr>
          <w:ilvl w:val="0"/>
          <w:numId w:val="2"/>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des Todes der Kundin/des Kunden</w:t>
      </w:r>
    </w:p>
    <w:p w14:paraId="47C8B8FF" w14:textId="77777777" w:rsidR="00EE7033" w:rsidRPr="00FA5581" w:rsidRDefault="00EE7033" w:rsidP="00EE7033">
      <w:pPr>
        <w:numPr>
          <w:ilvl w:val="0"/>
          <w:numId w:val="2"/>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bei der Zusammenlegung oder Stilllegung von Zählpunkten</w:t>
      </w:r>
    </w:p>
    <w:p w14:paraId="7A6DDECF" w14:textId="77777777" w:rsidR="00EE7033" w:rsidRPr="00FA5581" w:rsidRDefault="00EE7033" w:rsidP="00EE7033">
      <w:pPr>
        <w:numPr>
          <w:ilvl w:val="0"/>
          <w:numId w:val="2"/>
        </w:numPr>
        <w:spacing w:after="0" w:line="360" w:lineRule="auto"/>
        <w:contextualSpacing/>
        <w:jc w:val="both"/>
        <w:rPr>
          <w:rFonts w:ascii="Aptos" w:eastAsia="Times New Roman" w:hAnsi="Aptos" w:cs="Calibri"/>
          <w:lang w:val="de-DE" w:eastAsia="de-DE"/>
        </w:rPr>
      </w:pPr>
      <w:r w:rsidRPr="00FA5581">
        <w:rPr>
          <w:rFonts w:ascii="Aptos" w:eastAsia="Times New Roman" w:hAnsi="Aptos" w:cs="Calibri"/>
          <w:lang w:val="de-DE" w:eastAsia="de-DE"/>
        </w:rPr>
        <w:t>bei einem Wohnsitzwechsel oder Haushaltszusammenzug, wenn das Kontingent den tatsächlichen Stromverbrauch dadurch dauerhaft übersteigt.</w:t>
      </w:r>
    </w:p>
    <w:p w14:paraId="640992AC" w14:textId="77777777" w:rsidR="00EE7033" w:rsidRPr="00FA5581" w:rsidRDefault="00EE7033" w:rsidP="00EE7033">
      <w:pPr>
        <w:spacing w:after="0" w:line="360" w:lineRule="auto"/>
        <w:ind w:left="720"/>
        <w:contextualSpacing/>
        <w:jc w:val="both"/>
        <w:rPr>
          <w:rFonts w:ascii="Aptos" w:eastAsia="Times New Roman" w:hAnsi="Aptos" w:cs="Calibri"/>
          <w:lang w:val="de-DE" w:eastAsia="de-DE"/>
        </w:rPr>
      </w:pPr>
    </w:p>
    <w:p w14:paraId="5E4CCAD7"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t>Der Rückkaufpreis richtet sich nach der noch offenen Vertragslaufzeit und wird zeitanteilig auf Monatsbasis berechnet. Eine Verzinsung findet nicht statt. Mit der Rückzahlung erlischt der Anspruch auf eine Energiegutschrift. Die Absicht zur Rückabwicklung muss schriftlich mitgeteilt werden. Die Stadtwerke Kufstein erstatten den Rückkaufswert innerhalb der gesetzlichen Fristen.</w:t>
      </w:r>
    </w:p>
    <w:p w14:paraId="430E8BB2" w14:textId="77777777" w:rsidR="00EE7033" w:rsidRPr="00FA5581" w:rsidRDefault="00EE7033" w:rsidP="00EE7033">
      <w:pPr>
        <w:spacing w:after="0" w:line="360" w:lineRule="auto"/>
        <w:jc w:val="both"/>
        <w:rPr>
          <w:rFonts w:ascii="Aptos" w:eastAsia="Times New Roman" w:hAnsi="Aptos" w:cs="Calibri"/>
          <w:lang w:val="de-DE" w:eastAsia="de-DE"/>
        </w:rPr>
      </w:pPr>
    </w:p>
    <w:p w14:paraId="20121398"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t xml:space="preserve">Die Vertragsparteien erklären sich damit einverstanden, dass ihre personenbezogenen Daten im Rahmen dieses Vertragsverhältnisses gemäß Art. 6 Abs. 1 </w:t>
      </w:r>
      <w:proofErr w:type="spellStart"/>
      <w:r w:rsidRPr="00FA5581">
        <w:rPr>
          <w:rFonts w:ascii="Aptos" w:eastAsia="Times New Roman" w:hAnsi="Aptos" w:cs="Calibri"/>
          <w:lang w:val="de-DE" w:eastAsia="de-DE"/>
        </w:rPr>
        <w:t>lit</w:t>
      </w:r>
      <w:proofErr w:type="spellEnd"/>
      <w:r w:rsidRPr="00FA5581">
        <w:rPr>
          <w:rFonts w:ascii="Aptos" w:eastAsia="Times New Roman" w:hAnsi="Aptos" w:cs="Calibri"/>
          <w:lang w:val="de-DE" w:eastAsia="de-DE"/>
        </w:rPr>
        <w:t>. b DSGVO verarbeitet werden. Eine Weitergabe an Dritte erfolgt ausschließlich im Rahmen der gesetzlichen Vorschriften. Die Betroffenenrechte gemäß DSGVO bleiben unberührt.</w:t>
      </w:r>
    </w:p>
    <w:p w14:paraId="70865F38" w14:textId="77777777" w:rsidR="00EE7033" w:rsidRPr="00FA5581" w:rsidRDefault="00EE7033" w:rsidP="00EE7033">
      <w:pPr>
        <w:spacing w:after="0" w:line="360" w:lineRule="auto"/>
        <w:jc w:val="both"/>
        <w:rPr>
          <w:rFonts w:ascii="Aptos" w:eastAsia="Times New Roman" w:hAnsi="Aptos" w:cs="Calibri"/>
          <w:lang w:val="de-DE" w:eastAsia="de-DE"/>
        </w:rPr>
      </w:pPr>
    </w:p>
    <w:p w14:paraId="6DFFDF9A"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t>Die Kundin bzw. der Kunde hat das Recht, binnen vierzehn Tagen ohne Angabe von Gründen diesen Vertrag zu widerrufen. Die Widerrufsfrist beträgt vierzehn Tage ab dem Tag des Vertragsabschlusses. Um das Widerrufsrecht auszuüben, muss eine eindeutige Erklärung (z. B. per Brief, E-Mail oder Fax) an die Stadtwerke Kufstein gerichtet werden.</w:t>
      </w:r>
    </w:p>
    <w:p w14:paraId="0C320551" w14:textId="77777777" w:rsidR="00EE7033" w:rsidRPr="00FA5581" w:rsidRDefault="00EE7033" w:rsidP="00EE7033">
      <w:pPr>
        <w:spacing w:after="0" w:line="360" w:lineRule="auto"/>
        <w:jc w:val="both"/>
        <w:rPr>
          <w:rFonts w:ascii="Aptos" w:eastAsia="Times New Roman" w:hAnsi="Aptos" w:cs="Calibri"/>
          <w:lang w:val="de-DE" w:eastAsia="de-DE"/>
        </w:rPr>
      </w:pPr>
      <w:r w:rsidRPr="00FA5581">
        <w:rPr>
          <w:rFonts w:ascii="Aptos" w:eastAsia="Times New Roman" w:hAnsi="Aptos" w:cs="Calibri"/>
          <w:lang w:val="de-DE" w:eastAsia="de-DE"/>
        </w:rPr>
        <w:t>Im Falle des Widerrufs werden alle bisher erbrachten Leistungen ab Eingang der Widerrufserklärung rückabgewickelt.</w:t>
      </w:r>
    </w:p>
    <w:p w14:paraId="7602BD54" w14:textId="77777777" w:rsidR="00EE7033" w:rsidRDefault="00EE7033" w:rsidP="00EE7033">
      <w:pPr>
        <w:spacing w:line="360" w:lineRule="auto"/>
        <w:jc w:val="both"/>
        <w:rPr>
          <w:rFonts w:ascii="Aptos" w:hAnsi="Aptos" w:cs="Calibri"/>
        </w:rPr>
      </w:pPr>
    </w:p>
    <w:p w14:paraId="1E0D951B" w14:textId="77777777" w:rsidR="00EE7033" w:rsidRDefault="00EE7033" w:rsidP="00EE7033">
      <w:pPr>
        <w:tabs>
          <w:tab w:val="right" w:pos="3402"/>
          <w:tab w:val="left" w:pos="5103"/>
          <w:tab w:val="right" w:leader="dot" w:pos="8505"/>
        </w:tabs>
        <w:jc w:val="both"/>
        <w:rPr>
          <w:rFonts w:ascii="Aptos" w:hAnsi="Aptos" w:cs="Calibri"/>
        </w:rPr>
      </w:pPr>
    </w:p>
    <w:p w14:paraId="2C7BE8A5" w14:textId="77777777" w:rsidR="00EE7033" w:rsidRDefault="00EE7033" w:rsidP="00EE7033">
      <w:pPr>
        <w:tabs>
          <w:tab w:val="right" w:pos="3402"/>
          <w:tab w:val="left" w:pos="5103"/>
          <w:tab w:val="right" w:leader="dot" w:pos="8505"/>
        </w:tabs>
        <w:jc w:val="both"/>
        <w:rPr>
          <w:rFonts w:ascii="Aptos" w:hAnsi="Aptos" w:cs="Calibri"/>
        </w:rPr>
      </w:pPr>
    </w:p>
    <w:p w14:paraId="0A1DEEF9" w14:textId="77777777" w:rsidR="00EE7033" w:rsidRDefault="00EE7033" w:rsidP="00EE7033">
      <w:pPr>
        <w:spacing w:after="0"/>
      </w:pPr>
    </w:p>
    <w:p w14:paraId="396588D8" w14:textId="77777777" w:rsidR="00EE7033" w:rsidRPr="00C24C2E" w:rsidRDefault="00EE7033" w:rsidP="00EE7033">
      <w:pPr>
        <w:spacing w:after="0"/>
        <w:rPr>
          <w:sz w:val="10"/>
          <w:szCs w:val="10"/>
        </w:rPr>
      </w:pPr>
    </w:p>
    <w:tbl>
      <w:tblPr>
        <w:tblStyle w:val="Tabellenraster1"/>
        <w:tblW w:w="9322" w:type="dxa"/>
        <w:tblLook w:val="04A0" w:firstRow="1" w:lastRow="0" w:firstColumn="1" w:lastColumn="0" w:noHBand="0" w:noVBand="1"/>
      </w:tblPr>
      <w:tblGrid>
        <w:gridCol w:w="5211"/>
        <w:gridCol w:w="4111"/>
      </w:tblGrid>
      <w:tr w:rsidR="00EE7033" w:rsidRPr="00FD6A81" w14:paraId="5CC95DA6" w14:textId="77777777" w:rsidTr="00426247">
        <w:trPr>
          <w:trHeight w:val="934"/>
        </w:trPr>
        <w:tc>
          <w:tcPr>
            <w:tcW w:w="5211" w:type="dxa"/>
          </w:tcPr>
          <w:p w14:paraId="073F9DC4" w14:textId="77777777" w:rsidR="00EE7033" w:rsidRPr="00FD6A81" w:rsidRDefault="00EE7033" w:rsidP="00426247">
            <w:pPr>
              <w:autoSpaceDE w:val="0"/>
              <w:autoSpaceDN w:val="0"/>
              <w:adjustRightInd w:val="0"/>
              <w:spacing w:after="0"/>
            </w:pPr>
            <w:r w:rsidRPr="00FD6A81">
              <w:t>Ort, Datum:</w:t>
            </w:r>
          </w:p>
          <w:p w14:paraId="2E940CC5" w14:textId="77777777" w:rsidR="00EE7033" w:rsidRPr="00FD6A81" w:rsidRDefault="00EE7033" w:rsidP="00426247">
            <w:pPr>
              <w:autoSpaceDE w:val="0"/>
              <w:autoSpaceDN w:val="0"/>
              <w:adjustRightInd w:val="0"/>
              <w:spacing w:after="0"/>
            </w:pPr>
          </w:p>
          <w:p w14:paraId="00BAAD9F" w14:textId="64521C88" w:rsidR="00EE7033" w:rsidRPr="00C24C2E" w:rsidRDefault="00EE7033" w:rsidP="00426247">
            <w:pPr>
              <w:autoSpaceDE w:val="0"/>
              <w:autoSpaceDN w:val="0"/>
              <w:adjustRightInd w:val="0"/>
              <w:spacing w:after="0"/>
            </w:pPr>
            <w:r w:rsidRPr="00FD6A81">
              <w:t>, am</w:t>
            </w:r>
            <w:r>
              <w:t xml:space="preserve"> </w:t>
            </w:r>
            <w:r>
              <w:fldChar w:fldCharType="begin"/>
            </w:r>
            <w:r>
              <w:instrText xml:space="preserve"> TIME \@ "dd.MM.yyyy" </w:instrText>
            </w:r>
            <w:r>
              <w:fldChar w:fldCharType="separate"/>
            </w:r>
            <w:r>
              <w:rPr>
                <w:rFonts w:eastAsiaTheme="minorHAnsi" w:cs="Arial"/>
                <w:noProof/>
              </w:rPr>
              <w:t>05.01.2026</w:t>
            </w:r>
            <w:r>
              <w:fldChar w:fldCharType="end"/>
            </w:r>
          </w:p>
        </w:tc>
        <w:tc>
          <w:tcPr>
            <w:tcW w:w="4111" w:type="dxa"/>
          </w:tcPr>
          <w:p w14:paraId="14A36E41" w14:textId="77777777" w:rsidR="00EE7033" w:rsidRPr="00FD6A81" w:rsidRDefault="00EE7033" w:rsidP="00426247">
            <w:pPr>
              <w:autoSpaceDE w:val="0"/>
              <w:autoSpaceDN w:val="0"/>
              <w:adjustRightInd w:val="0"/>
              <w:spacing w:after="0"/>
              <w:rPr>
                <w:rFonts w:cs="Calibri"/>
              </w:rPr>
            </w:pPr>
            <w:r>
              <w:t>Unterschrift</w:t>
            </w:r>
          </w:p>
        </w:tc>
      </w:tr>
    </w:tbl>
    <w:p w14:paraId="0A42CBC9" w14:textId="77777777" w:rsidR="00EE7033" w:rsidRPr="007A7E4D" w:rsidRDefault="00EE7033" w:rsidP="00EE7033"/>
    <w:p w14:paraId="18C94150" w14:textId="77777777" w:rsidR="005C79C9" w:rsidRDefault="005C79C9"/>
    <w:sectPr w:rsidR="005C79C9" w:rsidSect="00EE7033">
      <w:headerReference w:type="first" r:id="rId5"/>
      <w:pgSz w:w="11906" w:h="16838" w:code="9"/>
      <w:pgMar w:top="1701" w:right="851" w:bottom="1134" w:left="1134" w:header="0" w:footer="0"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9B3C" w14:textId="77777777" w:rsidR="00EE7033" w:rsidRDefault="00EE7033">
    <w:pPr>
      <w:pStyle w:val="Kopfzeile"/>
    </w:pPr>
    <w:r>
      <w:rPr>
        <w:noProof/>
        <w:lang w:eastAsia="de-AT"/>
      </w:rPr>
      <w:drawing>
        <wp:anchor distT="0" distB="0" distL="114300" distR="114300" simplePos="0" relativeHeight="251659264" behindDoc="1" locked="0" layoutInCell="1" allowOverlap="1" wp14:anchorId="02445261" wp14:editId="12190572">
          <wp:simplePos x="718806" y="449865"/>
          <wp:positionH relativeFrom="page">
            <wp:align>left</wp:align>
          </wp:positionH>
          <wp:positionV relativeFrom="page">
            <wp:align>top</wp:align>
          </wp:positionV>
          <wp:extent cx="7560000" cy="1260000"/>
          <wp:effectExtent l="0" t="0" r="0" b="0"/>
          <wp:wrapNone/>
          <wp:docPr id="11" name="Header_No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l.eva.brief-kopf.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6BE"/>
    <w:multiLevelType w:val="hybridMultilevel"/>
    <w:tmpl w:val="0E505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B31CA1"/>
    <w:multiLevelType w:val="hybridMultilevel"/>
    <w:tmpl w:val="28CC8114"/>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4C03033"/>
    <w:multiLevelType w:val="hybridMultilevel"/>
    <w:tmpl w:val="C284C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9876368">
    <w:abstractNumId w:val="0"/>
  </w:num>
  <w:num w:numId="2" w16cid:durableId="673335363">
    <w:abstractNumId w:val="2"/>
  </w:num>
  <w:num w:numId="3" w16cid:durableId="200281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33"/>
    <w:rsid w:val="005C79C9"/>
    <w:rsid w:val="006974C4"/>
    <w:rsid w:val="00931E05"/>
    <w:rsid w:val="00EE70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B166"/>
  <w15:chartTrackingRefBased/>
  <w15:docId w15:val="{A1AF190A-3FAA-4EA1-A411-1F7970FB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7033"/>
    <w:pPr>
      <w:spacing w:after="200" w:line="276" w:lineRule="auto"/>
    </w:pPr>
    <w:rPr>
      <w:rFonts w:eastAsia="Calibri" w:cs="Times New Roman"/>
      <w:kern w:val="0"/>
      <w:sz w:val="22"/>
      <w:szCs w:val="22"/>
      <w14:ligatures w14:val="none"/>
    </w:rPr>
  </w:style>
  <w:style w:type="paragraph" w:styleId="berschrift1">
    <w:name w:val="heading 1"/>
    <w:basedOn w:val="Standard"/>
    <w:next w:val="Standard"/>
    <w:link w:val="berschrift1Zchn"/>
    <w:uiPriority w:val="9"/>
    <w:qFormat/>
    <w:rsid w:val="005C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79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79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79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79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79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79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79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79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79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79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79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79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79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79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79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79C9"/>
    <w:rPr>
      <w:rFonts w:eastAsiaTheme="majorEastAsia" w:cstheme="majorBidi"/>
      <w:color w:val="272727" w:themeColor="text1" w:themeTint="D8"/>
    </w:rPr>
  </w:style>
  <w:style w:type="paragraph" w:styleId="Titel">
    <w:name w:val="Title"/>
    <w:basedOn w:val="Standard"/>
    <w:next w:val="Standard"/>
    <w:link w:val="TitelZchn"/>
    <w:uiPriority w:val="10"/>
    <w:qFormat/>
    <w:rsid w:val="005C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79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79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79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79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79C9"/>
    <w:rPr>
      <w:i/>
      <w:iCs/>
      <w:color w:val="404040" w:themeColor="text1" w:themeTint="BF"/>
    </w:rPr>
  </w:style>
  <w:style w:type="paragraph" w:styleId="Listenabsatz">
    <w:name w:val="List Paragraph"/>
    <w:basedOn w:val="Standard"/>
    <w:uiPriority w:val="34"/>
    <w:qFormat/>
    <w:rsid w:val="005C79C9"/>
    <w:pPr>
      <w:ind w:left="720"/>
      <w:contextualSpacing/>
    </w:pPr>
  </w:style>
  <w:style w:type="character" w:styleId="IntensiveHervorhebung">
    <w:name w:val="Intense Emphasis"/>
    <w:basedOn w:val="Absatz-Standardschriftart"/>
    <w:uiPriority w:val="21"/>
    <w:qFormat/>
    <w:rsid w:val="005C79C9"/>
    <w:rPr>
      <w:i/>
      <w:iCs/>
      <w:color w:val="0F4761" w:themeColor="accent1" w:themeShade="BF"/>
    </w:rPr>
  </w:style>
  <w:style w:type="paragraph" w:styleId="IntensivesZitat">
    <w:name w:val="Intense Quote"/>
    <w:basedOn w:val="Standard"/>
    <w:next w:val="Standard"/>
    <w:link w:val="IntensivesZitatZchn"/>
    <w:uiPriority w:val="30"/>
    <w:qFormat/>
    <w:rsid w:val="005C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79C9"/>
    <w:rPr>
      <w:i/>
      <w:iCs/>
      <w:color w:val="0F4761" w:themeColor="accent1" w:themeShade="BF"/>
    </w:rPr>
  </w:style>
  <w:style w:type="character" w:styleId="IntensiverVerweis">
    <w:name w:val="Intense Reference"/>
    <w:basedOn w:val="Absatz-Standardschriftart"/>
    <w:uiPriority w:val="32"/>
    <w:qFormat/>
    <w:rsid w:val="005C79C9"/>
    <w:rPr>
      <w:b/>
      <w:bCs/>
      <w:smallCaps/>
      <w:color w:val="0F4761" w:themeColor="accent1" w:themeShade="BF"/>
      <w:spacing w:val="5"/>
    </w:rPr>
  </w:style>
  <w:style w:type="paragraph" w:styleId="Kopfzeile">
    <w:name w:val="header"/>
    <w:basedOn w:val="Standard"/>
    <w:link w:val="KopfzeileZchn"/>
    <w:uiPriority w:val="99"/>
    <w:unhideWhenUsed/>
    <w:rsid w:val="00EE70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33"/>
    <w:rPr>
      <w:rFonts w:eastAsia="Calibri" w:cs="Times New Roman"/>
      <w:kern w:val="0"/>
      <w:sz w:val="22"/>
      <w:szCs w:val="22"/>
      <w14:ligatures w14:val="none"/>
    </w:rPr>
  </w:style>
  <w:style w:type="table" w:styleId="Tabellenraster">
    <w:name w:val="Table Grid"/>
    <w:basedOn w:val="NormaleTabelle"/>
    <w:rsid w:val="00EE7033"/>
    <w:pPr>
      <w:spacing w:after="0" w:line="240" w:lineRule="auto"/>
    </w:pPr>
    <w:rPr>
      <w:rFonts w:ascii="Calibri" w:hAnsi="Calibri" w:cs="Arial"/>
      <w:kern w:val="0"/>
      <w:sz w:val="20"/>
      <w:szCs w:val="2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EE7033"/>
    <w:pPr>
      <w:spacing w:after="0" w:line="240" w:lineRule="auto"/>
    </w:pPr>
    <w:rPr>
      <w:rFonts w:ascii="Calibri" w:hAnsi="Calibri" w:cs="Arial"/>
      <w:kern w:val="0"/>
      <w:sz w:val="20"/>
      <w:szCs w:val="2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3989</Characters>
  <Application>Microsoft Office Word</Application>
  <DocSecurity>0</DocSecurity>
  <Lines>124</Lines>
  <Paragraphs>67</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Andreas / Stadtwerke Kufstein</dc:creator>
  <cp:keywords/>
  <dc:description/>
  <cp:lastModifiedBy>Dorn Andreas / Stadtwerke Kufstein</cp:lastModifiedBy>
  <cp:revision>1</cp:revision>
  <dcterms:created xsi:type="dcterms:W3CDTF">2026-01-05T13:43:00Z</dcterms:created>
  <dcterms:modified xsi:type="dcterms:W3CDTF">2026-01-05T13:44:00Z</dcterms:modified>
</cp:coreProperties>
</file>